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10"/>
        <w:gridCol w:w="3767"/>
        <w:gridCol w:w="6930"/>
        <w:gridCol w:w="945"/>
        <w:gridCol w:w="945"/>
        <w:gridCol w:w="945"/>
      </w:tblGrid>
      <w:tr w:rsidR="00A06FE9" w:rsidRPr="00A06FE9" w:rsidTr="00BA4876">
        <w:trPr>
          <w:trHeight w:val="375"/>
        </w:trPr>
        <w:tc>
          <w:tcPr>
            <w:tcW w:w="15842" w:type="dxa"/>
            <w:gridSpan w:val="6"/>
            <w:shd w:val="clear" w:color="FFFFFF" w:fill="auto"/>
            <w:vAlign w:val="bottom"/>
          </w:tcPr>
          <w:p w:rsidR="00B02765" w:rsidRPr="00A06FE9" w:rsidRDefault="00D3037B">
            <w:pPr>
              <w:jc w:val="center"/>
            </w:pPr>
            <w:r w:rsidRPr="00A06FE9">
              <w:rPr>
                <w:rFonts w:ascii="Times New Roman" w:hAnsi="Times New Roman"/>
                <w:b/>
                <w:sz w:val="28"/>
                <w:szCs w:val="28"/>
              </w:rPr>
              <w:t>Перечень вопросов компьютерного тестирования, на которые был дан неверный ответ</w:t>
            </w:r>
          </w:p>
        </w:tc>
      </w:tr>
      <w:tr w:rsidR="00A06FE9" w:rsidRPr="00A06FE9" w:rsidTr="00BA4876">
        <w:trPr>
          <w:trHeight w:val="225"/>
        </w:trPr>
        <w:tc>
          <w:tcPr>
            <w:tcW w:w="2310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3767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6930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</w:tr>
      <w:tr w:rsidR="00A06FE9" w:rsidRPr="00A06FE9" w:rsidTr="00BA4876">
        <w:trPr>
          <w:trHeight w:val="225"/>
        </w:trPr>
        <w:tc>
          <w:tcPr>
            <w:tcW w:w="2310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3767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6930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</w:tr>
      <w:tr w:rsidR="00A06FE9" w:rsidRPr="00A06FE9" w:rsidTr="00BA4876">
        <w:trPr>
          <w:trHeight w:val="225"/>
        </w:trPr>
        <w:tc>
          <w:tcPr>
            <w:tcW w:w="2310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3767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6930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</w:tr>
      <w:tr w:rsidR="00A06FE9" w:rsidRPr="00A06FE9" w:rsidTr="00BA4876">
        <w:trPr>
          <w:trHeight w:val="375"/>
        </w:trPr>
        <w:tc>
          <w:tcPr>
            <w:tcW w:w="2310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3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2765" w:rsidRPr="00A06FE9" w:rsidRDefault="00D3037B">
            <w:r w:rsidRPr="00A06FE9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6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2765" w:rsidRPr="00A06FE9" w:rsidRDefault="00D3037B">
            <w:r w:rsidRPr="00A06FE9">
              <w:rPr>
                <w:rFonts w:ascii="Times New Roman" w:hAnsi="Times New Roman"/>
                <w:sz w:val="28"/>
                <w:szCs w:val="28"/>
              </w:rPr>
              <w:t>Э11 ТУ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</w:tr>
    </w:tbl>
    <w:p w:rsidR="00B02765" w:rsidRPr="00A06FE9" w:rsidRDefault="00D3037B">
      <w:r w:rsidRPr="00A06FE9">
        <w:br w:type="page"/>
      </w:r>
    </w:p>
    <w:tbl>
      <w:tblPr>
        <w:tblStyle w:val="TableStyle1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3847"/>
        <w:gridCol w:w="945"/>
      </w:tblGrid>
      <w:tr w:rsidR="00A06FE9" w:rsidRPr="00A06FE9">
        <w:trPr>
          <w:trHeight w:val="420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FE9" w:rsidRPr="00A06FE9" w:rsidRDefault="00A06FE9">
            <w:pPr>
              <w:jc w:val="center"/>
            </w:pPr>
            <w:r w:rsidRPr="00A06F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Текст вопроса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Какой проце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сс вкл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ючает процедура теплового контроля технических устройств и сооружений в соответствии с РД 13-04-2006 «Методические рекомендации о порядке проведения теплового контроля технических устройств и сооружений, применяемых и эксплуатируемых на опасных производственных объектах», утвержденным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13.12.2006 № 1072?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В каком случае применяют пассивный способ теплового контроля технических устройств и сооружений в соответствии с РД 13-04-2006 «Методические рекомендации о порядке проведения теплового контроля технических устройств и сооружений, применяемых и эксплуатируемых на опасных производственных объектах», утвержденным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13.12.2006 № 1072?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03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Укажите неверное утверждение в отношении измерительного контроля сварных соединений и наплавок согласно РД 03-606-03 «Инструкция по визуальному и измерительному контролю», утвержденному постановлением Госгортехнадзора России от 11.06.2003 № 92.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03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Что из нижеперечисленного не является опасным влиянием блуждающего постоянного тока на подземные стальные газопроводы согласно РД 153-39.4-091-01 «Инструкция по защите городских подземных трубопроводов от коррозии», утвержденному приказом Минэнерго России от 29.12.2001 № 375?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Могут ли в процессе эксплуатации пунктов редуцирования газа корректироваться параметры настройки редукционной, предохранительной и защитной арматур, установленные проектной документацией, согласно ГОСТ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54983-2012 «Национальный стандарт Российской Федерации. Системы газораспределительные. Сети газораспределения природного газа. Общие требования к эксплуатации. Эксплуатационная документация»,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Росстандарта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13.09.2012 № 299-ст?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Каков срок службы подземных резервуаров объемом до 4,2 м³ на объектах, использующих сжиженные углеводородные газы согласно ГОСТ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54982-2012 «Национальный стандарт Российской Федерации. Системы газораспределительные. Объекты сжиженных углеводородных газов. Общие требования к эксплуатации. Эксплуатационная документация»,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Росстандарта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12.09.2012 № 293-ст?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Каковы расчетные суммарные потери давления газа в газопроводах-вводах и внутренних газопроводах низкого давления (от источника газоснабжения до наиболее удаленного прибора) согласно СП 42-101-2003 «Свод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труб», одобренному постановлением Госстроя от 26.06.2003 № 112?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lastRenderedPageBreak/>
              <w:t>Какие резервуары сжиженных углеводородных газов предусматривают для подземного размещения на газонаполнительной станции, газонаполнительном пункте согласно СП 42-101-2003 «Свод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труб», одобренному постановлением Госстроя от 26.06.2003 № 112?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Должна ли эксплуатационная организация согласовывать порядок эксплуатации газопроводов в охранных зонах при пересечении ими земельных участков с собственниками, владельцами или пользователями данных земельных участков согласно «Правилам охраны газораспределительных сетей вдоль трасс подземных газопроводов из полиэтиленовых труб», утвержденным постановлением Правительства Российской Федерации от 20.11.2000 № 878?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03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Какие требования установлены к оснащению технологических устройств систем газораспределения и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согласно «Техническому регламенту о безопасности сетей газораспределения и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>», утвержденному постановлением Правительства Российской Федерации от 29.10.2010 № 870?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03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 какой категории относятся газопроводы с давлением газа свыше 0,6 до 1,2 МПа включительно согласно «Техническому регламенту о безопасности сетей газораспределения и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>», утвержденному постановлением Правительства Российской Федерации от 29.10.2010 № 870?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С какой периодичностью должен осуществляться контроль концентрации сжиженных углеводородных газов в производственных помещениях в период замены сигнализатора загазованности резервным в соответствии с Федеральными нормами и правилами в области промышленной безопасности «Правила безопасности для объектов, использующих сжиженные углеводородные газы», утвержденными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21.11.2013 № 558?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Допускается ли согласно РД 03-380-00 «Инструкция по обследованию шаровых резервуаров и газгольдеров для хранения сжиженных газов под давлением», утвержденному постановлением Госгортехнадзора России от 20.09.2000 № 51, заменять гидравлические испытания шарового резервуара для хранения сжиженных углеводородных газов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пневмоиспытаниями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Допускается ли проведение частичного освидетельствования изотермических резервуаров в режиме эксплуатации согласно РД 03-410-01 «Инструкция по проведению комплексного технического освидетельствования изотермических резервуаров сжиженных газов», утвержденному постановлением Госгортехнадзора России от 20.07.2001 № 32?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03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lastRenderedPageBreak/>
              <w:t>Какие из перечисленных полномочий относятся к полномочиям федеральных органов государственной власти в области газоснабжения согласно Федеральному закону от 31.03.1999 № 69-ФЗ «О газоснабжении в Российской Федерации»?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Каким образом должны располагаться наземные изотермические резервуары вместимостью 10000, 20000 и 30000 м³ и подземные согласно «Руководству по безопасности для складов сжиженных углеводородных газов и легковоспламеняющихся жидкостей под давлением», утвержденному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26.12.2012 № 778?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202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При эксплуатации каких трубопроводов, использующих сжиженные углеводородные газы, должны быть предусмотрены меры</w:t>
            </w:r>
            <w:r w:rsidRPr="00A06FE9">
              <w:rPr>
                <w:rFonts w:ascii="Times New Roman" w:hAnsi="Times New Roman"/>
                <w:sz w:val="28"/>
                <w:szCs w:val="28"/>
              </w:rPr>
              <w:br/>
              <w:t xml:space="preserve">по предотвращению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конденсат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гидратообразования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согласно ГОСТ Р 54982-2012 «Национальный стандарт Российской Федерации. Системы газораспределительные. Объекты сжиженных углеводородных газов. Общие требования к эксплуатации. Эксплуатационная документация»,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и введенному в действие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Росстандарта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12.09.2012 № 293-ст?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Установку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какой арматуры следует предусматривать для безопасной газификации зданий в соответствии с требованиями к внутренним газопроводам газораспределительных систем согласно СП 62.13330.2011 «Свод правил. Газораспределительные системы. Актуализированная редакция СНиП 42-01-2002»,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Минрегиона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России от 27.12.2010 № 780?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Какой из документов не является необходимым для первичной подачи газа на объекты, использующие сжиженные углеводородные газы, после их реконструкции, технического перевооружения в соответствии с Федеральными нормами и правилами в области промышленной безопасности «Правила безопасности для объектов, использующих сжиженные углеводородные газы», утвержденными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21.11.2013 № 558?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Каким образом должна осуществляться настройка регуляторов давления газа на газорегуляторных пунктах низкого давления согласно СП 42-101-2003 «Свод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труб», одобренному постановлением Госстроя от 26.06.2003 № 112?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Каким должен быть средний срок службы блочного газорегуляторного пункта согласно ГОСТ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54960-2012 «Национальный стандарт Российской Федерации. Системы газораспределительные. Пункты газорегуляторные блочные. Пункты редуцирования газа шкафные. Общие технические требования»,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Росстандарта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22.08.2012 № 250-ст?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Каким образом должны располагаться шаровые резервуары вместимостью до 2000 м³ включительно и наземные изотермические резервуары вместимостью до 5000 м³ включительно согласно «Руководству по безопасности для складов сжиженных углеводородных газов и легковоспламеняющихся жидкостей под давлением», утвержденному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26.12.2012 № 778?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Чему равно значение коэффициента теплового воздействия при числе резервуаров в установке, равном 2, согласно СП 42-101-2003 «Свод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труб», одобренному постановлением Госстроя от 26.06.2003 № 112?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03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Какая из приведенных формулировок для продувочного газопровода является верной согласно «Техническому регламенту о безопасности сетей газораспределения и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>», утвержденному постановлением Правительства Российской Федерации от 29.10.2010 № 870?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Какому условию должны соответствовать размеры предохранительной арматуры, устанавливаемой на сосуде, ее пропускная способность и количество для сосудов с давлением свыше 6,0 МПа согласно ГОСТ 12.2.063-2015 «Межгосударственный стандарт. Арматура трубопроводная.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Общие требования безопасности», введенному в действие приказом Федерального агентства по техническому регулированию и метрологии от 26.05.2015 № 439-ст?</w:t>
            </w:r>
            <w:proofErr w:type="gramEnd"/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В какой документации указывается эффективная площадь и коэффициент расхода предохранительных клапанов прямого действия согласно ГОСТ 31294-2005 «Межгосударственный стандарт. Клапаны предохранительные прямого действия. Общие технические условия»,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Ростехрегулирования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28.04.2008 № 91-ст?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03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Что согласно РД 153-39.1-059-00 «Методика технического диагностирования газорегуляторных пунктов», утвержденному приказом Минэнерго России от 19.12.2000 № 157, не включает в себя контроль технического состояния оборудования газорегуляторных пунктов?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03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Какое из приведенных определений «оборудование для работы во взрывоопасных средах» соответствует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ТС 012/2011 «Технический регламент Таможенного союза. О безопасности оборудования для работы во взрывоопасных средах»,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решением комиссии Таможенного союза от 18.10.2011 № 825?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202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Какая максимальная пропускная способность установлена для отдельно стоящих пунктов редуцирования газа (газорегуляторных пунктов, блочных газорегуляторных пунктов, шкафных пунктов редуцирования газа), размещенных вне территории поселений, согласно ГОСТ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56019-2014 «Национальный стандарт Российской Федерации. Системы газораспределительные. Пункты редуцирования газа.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Функциональные требования», утвержденному и введенному в действие приказом Федерального агентства по техническому регулированию и метрологии от 28.04.2014 № 424-ст?</w:t>
            </w:r>
            <w:proofErr w:type="gramEnd"/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Какой тип арматуры не рекомендуется предусматривать для наружных и внутренних газопроводов природного газа давлением до 1,2 МПа, паровой и жидкой фазы сжиженных углеводородных газов давлением до 1,6 МПа согласно СП 42-101-2003 «Свод правил по проектированию</w:t>
            </w:r>
            <w:r w:rsidRPr="00A06FE9">
              <w:rPr>
                <w:rFonts w:ascii="Times New Roman" w:hAnsi="Times New Roman"/>
                <w:sz w:val="28"/>
                <w:szCs w:val="28"/>
              </w:rPr>
              <w:br/>
              <w:t>и строительству. Общие положения по проектированию и строительству газораспределительных систем из металлических и полиэтиленовых труб», одобренному постановлением Госстроя от 26.06.2003 № 112?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На каком расстоянии от границы контура насосной согласно «Руководству по безопасности для складов сжиженных углеводородных газов и легковоспламеняющихся жидкостей под давлением», утвержденному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26.12.2012 № 778, следует располагать дополнительную арматуру аварийного отключения на всасывающих и нагнетательных трубопроводах, связывающих технологическую аппаратуру складов (резервуары, емкости) с насосами?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Температура поверхности какого оборудования не должна быть ниже температуры самовоспламенения окружающей взрывоопасной газовой среды и температуры самовоспламенения слоя пыли при эксплуатации в указанных аварийных режимах и при изменении условий окружающей среды согласно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ТС 012/2011 «Технический регламент Таможенного союза. О безопасности оборудования для работы во взрывоопасных средах»,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решением комиссии Таможенного союза от 18.10.2011 № 825?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Какому требованию должна отвечать запорная арматура, устанавливаемая на сетях газораспределения согласно ГОСТ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55472-2013 «Национальный стандарт Российской Федерации. Системы газораспределительные. Требования к сетям газораспределения. Часть 0. Общие положения»,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Росстандарта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05.07.2013 № 289-ст?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Укажите верное определение «защиты оболочкой с ограниченным пропуском газов «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fr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» неэлектрического оборудования, предназначенного для работы во взрывоопасных средах, согласно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ТС 012/2011 «Технический регламент Таможенного союза. О безопасности оборудования для работы во взрывоопасных средах»,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решением комиссии Таможенного союза от 18.10.2011 № 825.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lastRenderedPageBreak/>
              <w:t>Какое из утверждений противоречит установленным техническим требованиям к газовым промышленным автоматическим горелкам ГОСТ 21204-97 «Межгосударственный стандарт. Горелки газовые промышленные. Общие технические требования», введенного в действие приказом Госстандарта Российской Федерации от 17.09.1997 № 313?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Каким требованиям согласно СП 42-103-2003 «Проектирование и строительство газопроводов из полиэтиленовых труб и реконструкция изношенных газопроводов», одобренному постановлением Госстроя от 26.11.2003 № 195, должен отвечать внешний вид сварных соединений полиэтиленовых труб газопроводов, выполненных при помощи деталей с закладными нагревателями?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Какую возможность должна обеспечить блокировка вентиляционной системы с пусковыми устройствами технологического оборудования газонаполнительной станции согласно СП 42-101-2003 «Свод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труб», одобренному постановлением Госстроя от 26.06.2003 № 112?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Какие дефекты из перечисленных подлежат обязательной проверке при внутреннем визуальном осмотре шарового резервуара для хранения сжиженных углеводородных газов согласно РД 03-380-00 «Инструкция по обследованию шаровых резервуаров и газгольдеров для хранения сжиженных газов под давлением», утвержденному постановлением Госгортехнадзора России от 20.09.2000 № 51?</w:t>
            </w:r>
            <w:proofErr w:type="gramEnd"/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Какой должна быть продолжительность выдержки при установившемся давлении для предохранительных клапанов номинальным диаметром DN свыше 100 при проведении испытаний на герметичность по отношению к внешней среде неподвижных и подвижных соединений согласно ГОСТ 31294-2005 «Межгосударственный стандарт. Клапаны предохранительные прямого действия. Общие технические условия»,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Ростехрегулирования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28.04.2008 № 91-ст?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Каким может быть назначен остаточный срок службы газорегуляторных пунктов, если по результатам диагностирования были обнаружены утонения участков газопровода и напряжения в металле, не превышающие установленных норм, согласно РД 153-39.1-059-00 «Методика технического диагностирования газорегуляторных пунктов», утвержденному приказом Минэнерго России от 19.12.2000 № 157?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Какие резервуары следует применять для резервуарной установки сжиженных углеводородных газов согласно СП 42-101-2003 «Свод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труб», одобренному постановлением Госстроя от 26.06.2003 № 112?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03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lastRenderedPageBreak/>
              <w:t>В каком случае может быть назначен остаточный срок службы газорегуляторных пунктов, не превышающий 75 % нормативного срока службы, согласно РД 153-39.1-059-00 «Методика технического диагностирования газорегуляторных пунктов», утвержденному приказом Минэнерго России от 19.12.2000 № 157?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Какие показатели из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перечисленных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относятся к термическим критериям безопасности, связанным с критическими отказами трубопроводной арматуры, согласно ГОСТ 12.2.063-2015 «Межгосударственный стандарт. Арматура трубопроводная.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Общие требования безопасности», введенному в действие приказом Федерального агентства по техническому регулированию и метрологии от 26.05.2015 № 439-ст?</w:t>
            </w:r>
            <w:proofErr w:type="gramEnd"/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03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В каких случаях участки газопроводов газорегуляторных пунктов подлежат замене согласно РД 153-39.1-059-00 «Методика технического диагностирования газорегуляторных пунктов», утвержденному приказом Минэнерго России от 19.12.2000 № 157?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Высокопрочный чугун марок ВЧ40, ВЧ45, предназначенный для работы при какой температуре, необходимо применять в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термообработанном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состоянии в соответствии со специальными требованиями к материалам трубопроводной арматуры согласно ГОСТ 12.2.063-2015 «Межгосударственный стандарт. Арматура трубопроводная.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Общие требования безопасности», введенному в действие приказом Федерального агентства по техническому регулированию и метрологии от 26.05.2015 № 439-ст?</w:t>
            </w:r>
            <w:proofErr w:type="gramEnd"/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С каким резервом предусматриваются аппараты в каждой ступени очистки газа в соответствии со специальными требованиями к эксплуатации сетей газораспределения и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газотурбинных и парогазовых установок согласно Федеральным нормам и правилам в области промышленной безопасности «Правила безопасности сетей газораспределения и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», утвержденным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15.11.2013 № 542?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>Какому проценту проведенных замеров должны удовлетворять нормативные предельные отклонения образующих стенки внутренней оболочки изотермических резервуаров сжиженных газов от вертикали согласно РД 03-410-01 «Инструкция по проведению комплексного технического освидетельствования», утвержденному постановлением Госгортехнадзора России от 20.07.2001 № 32?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Какова согласно ГОСТ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54982-2012 «Национальный стандарт Российской Федерации. Системы газораспределительные. Объекты сжиженных углеводородных газов. Общие требования к эксплуатации. Эксплуатационная документация»,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Росстандарта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12.09.2012 № 293-ст, периодичность технического обслуживания резервуарных установок на объектах, использующих сжиженные углеводородные газы?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истечении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какого времени автоматика горелок мощностью до 70 кВт должна обеспечивать защитное выключение горелки, если при ее розжиге не произойдет воспламенение, согласно ГОСТ 21204-97 «Межгосударственный стандарт. Горелки газовые промышленные. Общие технические требования»,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введенному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в действие приказом Госстандарта Российской Федерации от 17.09.1997 № 313?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36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Что в соответствии с Федеральными нормами и правилами в области промышленной безопасности «Правила безопасности для объектов, использующих сжиженные углеводородные газы», утвержденными приказом </w:t>
            </w:r>
            <w:proofErr w:type="spellStart"/>
            <w:r w:rsidRPr="00A06FE9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от 21.11.2013 № 558, не входит в техническое обслуживание контрольно-измерительных приборов?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  <w:tr w:rsidR="00A06FE9" w:rsidRPr="00A06FE9">
        <w:trPr>
          <w:trHeight w:val="1695"/>
        </w:trPr>
        <w:tc>
          <w:tcPr>
            <w:tcW w:w="13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6FE9" w:rsidRPr="00A06FE9" w:rsidRDefault="00A06FE9">
            <w:r w:rsidRPr="00A06FE9">
              <w:rPr>
                <w:rFonts w:ascii="Times New Roman" w:hAnsi="Times New Roman"/>
                <w:sz w:val="28"/>
                <w:szCs w:val="28"/>
              </w:rPr>
              <w:t xml:space="preserve">Для каких пунктов редуцирования газа установлена максимальная пропускная способность 300000 м³/час согласно ГОСТ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06FE9">
              <w:rPr>
                <w:rFonts w:ascii="Times New Roman" w:hAnsi="Times New Roman"/>
                <w:sz w:val="28"/>
                <w:szCs w:val="28"/>
              </w:rPr>
              <w:t xml:space="preserve"> 56019-2014 «Национальный стандарт Российской Федерации. Системы газораспределительные. Пункты редуцирования газа. </w:t>
            </w:r>
            <w:proofErr w:type="gramStart"/>
            <w:r w:rsidRPr="00A06FE9">
              <w:rPr>
                <w:rFonts w:ascii="Times New Roman" w:hAnsi="Times New Roman"/>
                <w:sz w:val="28"/>
                <w:szCs w:val="28"/>
              </w:rPr>
              <w:t>Функциональные требования», утвержденному и введенному в действие приказом Федерального агентства по техническому регулированию и метрологии от 28.04.2014 № 424-ст?</w:t>
            </w:r>
            <w:proofErr w:type="gramEnd"/>
          </w:p>
        </w:tc>
        <w:tc>
          <w:tcPr>
            <w:tcW w:w="945" w:type="dxa"/>
            <w:shd w:val="clear" w:color="FFFFFF" w:fill="auto"/>
            <w:vAlign w:val="bottom"/>
          </w:tcPr>
          <w:p w:rsidR="00A06FE9" w:rsidRPr="00A06FE9" w:rsidRDefault="00A06FE9"/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10"/>
        <w:gridCol w:w="3767"/>
        <w:gridCol w:w="6930"/>
        <w:gridCol w:w="945"/>
        <w:gridCol w:w="945"/>
        <w:gridCol w:w="945"/>
      </w:tblGrid>
      <w:tr w:rsidR="00A06FE9" w:rsidRPr="00A06FE9">
        <w:trPr>
          <w:trHeight w:val="440"/>
        </w:trPr>
        <w:tc>
          <w:tcPr>
            <w:tcW w:w="2310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3767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6930" w:type="dxa"/>
            <w:shd w:val="clear" w:color="FFFFFF" w:fill="auto"/>
            <w:vAlign w:val="bottom"/>
          </w:tcPr>
          <w:p w:rsidR="00B02765" w:rsidRPr="00A06FE9" w:rsidRDefault="00B02765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>
            <w:pPr>
              <w:jc w:val="right"/>
            </w:pPr>
          </w:p>
        </w:tc>
      </w:tr>
    </w:tbl>
    <w:tbl>
      <w:tblPr>
        <w:tblStyle w:val="TableStyle4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10"/>
        <w:gridCol w:w="3767"/>
        <w:gridCol w:w="6930"/>
        <w:gridCol w:w="945"/>
        <w:gridCol w:w="945"/>
        <w:gridCol w:w="945"/>
      </w:tblGrid>
      <w:tr w:rsidR="00A06FE9" w:rsidRPr="00A06FE9" w:rsidTr="00BA4876">
        <w:trPr>
          <w:trHeight w:val="440"/>
        </w:trPr>
        <w:tc>
          <w:tcPr>
            <w:tcW w:w="2310" w:type="dxa"/>
            <w:shd w:val="clear" w:color="FFFFFF" w:fill="auto"/>
            <w:vAlign w:val="bottom"/>
          </w:tcPr>
          <w:p w:rsidR="00B02765" w:rsidRPr="00A06FE9" w:rsidRDefault="00B02765" w:rsidP="00BA4876"/>
        </w:tc>
        <w:tc>
          <w:tcPr>
            <w:tcW w:w="3767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6930" w:type="dxa"/>
            <w:shd w:val="clear" w:color="FFFFFF" w:fill="auto"/>
            <w:vAlign w:val="bottom"/>
          </w:tcPr>
          <w:p w:rsidR="00B02765" w:rsidRPr="00A06FE9" w:rsidRDefault="00B02765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/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>
            <w:pPr>
              <w:jc w:val="right"/>
            </w:pPr>
          </w:p>
        </w:tc>
      </w:tr>
      <w:tr w:rsidR="00A06FE9" w:rsidRPr="00A06FE9" w:rsidTr="00BA4876">
        <w:trPr>
          <w:trHeight w:val="375"/>
        </w:trPr>
        <w:tc>
          <w:tcPr>
            <w:tcW w:w="6077" w:type="dxa"/>
            <w:gridSpan w:val="2"/>
            <w:shd w:val="clear" w:color="FFFFFF" w:fill="auto"/>
            <w:vAlign w:val="bottom"/>
          </w:tcPr>
          <w:p w:rsidR="00B02765" w:rsidRPr="00A06FE9" w:rsidRDefault="00D3037B">
            <w:r w:rsidRPr="00A06FE9">
              <w:rPr>
                <w:rFonts w:ascii="Times New Roman" w:hAnsi="Times New Roman"/>
                <w:sz w:val="28"/>
                <w:szCs w:val="28"/>
              </w:rPr>
              <w:t>Секретарь аттестационной комиссии</w:t>
            </w:r>
          </w:p>
        </w:tc>
        <w:tc>
          <w:tcPr>
            <w:tcW w:w="8820" w:type="dxa"/>
            <w:gridSpan w:val="3"/>
            <w:shd w:val="clear" w:color="FFFFFF" w:fill="auto"/>
            <w:vAlign w:val="bottom"/>
          </w:tcPr>
          <w:p w:rsidR="00B02765" w:rsidRPr="00A06FE9" w:rsidRDefault="00D3037B">
            <w:pPr>
              <w:jc w:val="right"/>
            </w:pPr>
            <w:r w:rsidRPr="00A06FE9">
              <w:rPr>
                <w:rFonts w:ascii="Times New Roman" w:hAnsi="Times New Roman"/>
                <w:sz w:val="28"/>
                <w:szCs w:val="28"/>
              </w:rPr>
              <w:t>П.В. Медведев</w:t>
            </w: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B02765" w:rsidRPr="00A06FE9" w:rsidRDefault="00B02765">
            <w:pPr>
              <w:jc w:val="right"/>
            </w:pPr>
          </w:p>
        </w:tc>
      </w:tr>
    </w:tbl>
    <w:p w:rsidR="00D3037B" w:rsidRPr="00A06FE9" w:rsidRDefault="00D3037B"/>
    <w:sectPr w:rsidR="00D3037B" w:rsidRPr="00A06FE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765"/>
    <w:rsid w:val="007A5BA1"/>
    <w:rsid w:val="00946710"/>
    <w:rsid w:val="009A3F2C"/>
    <w:rsid w:val="009B1A85"/>
    <w:rsid w:val="00A06FE9"/>
    <w:rsid w:val="00B02765"/>
    <w:rsid w:val="00BA4876"/>
    <w:rsid w:val="00D3037B"/>
    <w:rsid w:val="00E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6</cp:revision>
  <dcterms:created xsi:type="dcterms:W3CDTF">2018-02-02T08:18:00Z</dcterms:created>
  <dcterms:modified xsi:type="dcterms:W3CDTF">2018-02-03T18:03:00Z</dcterms:modified>
</cp:coreProperties>
</file>