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A514CB" w:rsidRPr="00A514CB" w:rsidTr="00184C4F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  <w:r w:rsidRPr="00A514CB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"РД 50:48:0075.05.07. Методические рекомендации по экспертизе промышленной безопасности зданий и сооружений с крановыми нагрузками. Часть 1. Общие положения</w:t>
            </w:r>
            <w:proofErr w:type="gramStart"/>
            <w:r w:rsidRPr="00A514CB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"(</w:t>
            </w:r>
            <w:proofErr w:type="gramEnd"/>
            <w:r w:rsidRPr="00A514CB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утв. Объединенным Научно-техническим Советом организаций разработчиков 16.01.2007)</w:t>
            </w:r>
          </w:p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</w:p>
        </w:tc>
      </w:tr>
      <w:tr w:rsidR="00A514CB" w:rsidRPr="00A514CB" w:rsidTr="00184C4F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</w:p>
          <w:p w:rsidR="001D46B7" w:rsidRPr="00A514CB" w:rsidRDefault="001D46B7" w:rsidP="00A51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  <w:sectPr w:rsidR="00A514CB" w:rsidRPr="00A514CB" w:rsidSect="00A514CB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Утверждены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Объединенным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Научно-техническим Советом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организаций разработчиков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16 января 2007 года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514C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МЕТОДИЧЕСКИЕ РЕКОМЕНДАЦИИ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514C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ЭКСПЕРТИЗЕ ПРОМЫШЛЕННОЙ БЕЗОПАСНОСТИ ЗДАНИЙ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514C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СООРУЖЕНИЙ 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514C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ЧАСТЬ 1. ОБЩИЕ ПОЛОЖЕНИЯ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514C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РД 50:48:0075.05.07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Методические рекомендации по экспертизе промышленной безопасности зданий и сооружений с крановыми нагрузками состоят из четырех частей: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Часть 1. Общие положения.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Часть 2. Программа проведения экспертизы промышленной безопасности зданий и сооружений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Часть 3. Методика проведения экспертизы промышленной безопасности зданий и сооружений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Часть 4. Положение о порядке подготовки и аттестации руководителей, специалистов и обслуживающего персонала организаций, осуществляющих различные виды деятельности в области обеспечения промышленной, экологической и атомной безопасности опасных производственных объектов подконтрольных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Ростехнадзору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"Методические рекомендации по экспертизе промышленной безопасности зданий и сооружений с крановыми нагрузками" разработаны в соответствии с требованиями Федерального закона "О промышленной безопасности опасных производственных объектов" N 116-ФЗ (принят Государственной Думой 20 июня 1997 г.) (в редакции Законов от 07.08.2000 N 122-ФЗ, от 10.01.2003 N 15-ФЗ, от 22.08.2004 N 122-ФЗ, от 09.05.2005 N 45-ФЗ, от 18.12.2006 N 232-ФЗ);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"Положения по проведению экспертизы промышленной безопасности опасных производственных объектов, на которых используются подъемные сооружения" РД 10-528-2003, утвержденного Постановлением Госгортехнадзора России от 04.03.2003 N 5 и зарегистрированного Минюстом 28.03.2003 за N 4345.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 "Методических рекомендациях по экспертизе промышленной безопасности зданий и сооружений с крановыми нагрузками" изложены общие положения, основная цель и задачи экспертизы промышленной безопасности зданий и сооружений с крановыми нагрузками, периодичность и сроки проведения экспертизы, программа и методика проведения экспертизы и порядок оформления результатов (заключения)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"Методические рекомендации по экспертизе промышленной безопасности зданий и сооружений с крановыми нагрузками" согласованы 08.02.2007 Управлением государственного строительного надзора Федеральной службы по экологическому, технологическому и атомному надзору и утверждены 16 января 2007 г. Объединенным Научно-техническим Советом организаций разработчиков: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Закрытое акционерное общество Научно-производственный центр "Путь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К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Московский государственный строительный университет (МГСУ);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Санкт-Петербургский филиал ФГУП "ЦЭНКИ";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Учреждение науки "ИКЦ СЭКТ" при ВКА им. А.Ф. Можайского;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Федеральное государственное учреждение "Всероссийский научно-исследовательский институт по проблемам гражданской обороны и чрезвычайных ситуаций" МЧС России (Федеральный центр науки и высоких технологий ФГУП ВНИИ ГОЧС (ФЦ)).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1. Область применения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1.1. Методические рекомендации разработаны в развитии "Положения по проведению экспертизы промышленной безопасности опасных производственных объектов, на которых используются подъемные сооружения" РД 10-528-03, п. 3.1.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1.2. Методические рекомендации определяют периодичность, организацию, объемы и методы проведения экспертизы промышленной безопасности зданий и сооружений на опасных производственных объектах со стационарно установленными грузоподъемными кранами, средством передвижения которых является наземный или надземный крановый путь поднадзорных Федеральной службе по экологическому, технологическому и атомному надзору (далее -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1.3. Настоящие Методические рекомендации могут быть использованы при организации и проведении экспертизы промышленной безопасности, обследований и оценки технического состояния зданий и сооружений на опасных производственных объектах со стационарно установленными грузоподъемными кранами, средством передвижения которых является наземный или надземный крановый путь.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1.4. Методические рекомендации разработаны в соответствии с положениями: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Федерального закона "О промышленной безопасности опасных производственных объектов" N 116-ФЗ от 21.07.1997 ст. 9 (ред. от 07.08.2000 N 122-ФЗ);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Федерального закона "О лицензировании отдельных видов деятельности" N 128-ФЗ от 08.08.2001;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"Правил проведения экспертизы промышленной безопасности" (ПБ 03-246-98), Постановление Госгортехнадзора России N 64 от 06.11.1998;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"Положения по проведению экспертизы промышленной безопасности опасных производственных объектов, на которых используются подъемные сооружения". Утверждено Постановлением Госгортехнадзора России N 5 от 04.03.2003;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"Руководства по эксплуатации строительных конструкций производственных зданий промышленных предприятий".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ЦНИИпромзданий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, 2004 г.;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"Системы нормативных документов в строительстве" СНиП 10-01-94;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"Несущие и ограждающие конструкции" СНиП 3.03.01-87;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"Требований к проведению оценки безопасности эксплуатации производственных зданий и сооружений поднадзорных промышленных производств и объектов (обследование строительных конструкций специализированными организациями)" РД 22-01-97;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"Методических рекомендаций по организации производственного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контроля за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соблюдением требований промышленной безопасности на опасных производственных объектах" РД 04-355-00. Приказ Госгортехнадзора России от 26.04.2000 N 49;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"Методики оценки и сертификации инженерной безопасности зданий и сооружений" (разработана ФГУ ВНИИ ГОЧС (ФЦ), аттестована Правительственной комиссией по предупреждению и ликвидации чрезвычайных ситуаций и обеспечению пожарной безопасности (протокол заседания от 25.02.2003 N 1)).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1.5. Методические рекомендации предназначены: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для специализированных организаций, осуществляющих работы по экспертизе промышленной безопасности зданий и сооружений на опасных производственных объектах со стационарно установленными грузоподъемными кранами, средством передвижения которых является наземный или надземный крановый путь;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для служб технического надзора, предприятий, организаций и индивидуальных предпринимателей, осуществляющих надзор и содержание зданий и сооружений на опасных производственных объектах со стационарно установленными грузоподъемными кранами, средством передвижения которых является наземный или надземный крановый путь;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для территориальных органов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Ростехнадзора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2. Термины и определения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 настоящих Методических рекомендациях использованы термины и определения, которые приводятся в справочном пособии "Словарь общих терминов по подъемным сооружениям", 2003 г.: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Экспертиза промышленной безопасности;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Объекты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Система экспертизы промышленной безопасности;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Лицензия;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Экспертная организация;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Заключение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Эксперт;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Заказчик.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Ниже приведены термины, которые не включены в словарь, но используются в данных Методических рекомендациях: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Здание с крановыми нагрузками - строительная система, состоящая из несущих и ограждающих или совмещающих (несущих и ограждающих) конструкций, обеспечивающих замкнутый объем, предназначенный для размещения стационарно установленных грузоподъемных кранов, средством передвижения которых является наземный или надземный крановый путь, и обеспечения необходимых условий труда людей и эксплуатацию технологического оборудования.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Сооружение с крановыми нагрузками - строительная система, объемная, плоская или линейная наземная или надземная, состоящая из несущих, а в отдельных случаях и ограждающих конструкций, и предназначенная для выполнения производственных процессов с применением стационарно установленных грузоподъемных кранов, средством передвижения которых является наземный или надземный крановый путь.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3. Общие положения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3.1. В процессе эксплуатации, здания и сооружения с крановыми нагрузками на опасных производственных объектах, кроме осмотров и освидетельствований, должны периодически подвергаться обязательной экспертизе промышленной безопасности.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Отнесение объектов к категории опасных осуществляется в порядке, установленном в Федеральном законе "О промышленной безопасности опасных производственных объектов" N 116-ФЗ (принят Государственной Думой 20 июня 1997 г.) (в редакции Законов N 122-ФЗ от 07.08.2000, от 22.08.2004, N 15-ФЗ от 10.01.2003) и ПБ 03-260-99 "Методические рекомендации по идентификации опасных производственных объектов".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3.2. Экспертизу промышленной безопасности зданий и сооружений с крановыми нагрузками проводит независимая специализированная организация (далее - организация), имеющая соответствующую лицензию на данный вид деятельности, аттестованных специалистов-экспертов, необходимые нормативно-методические документы и технические средства на проведение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3.3. Лицензия на проведение экспертизы промышленной безопасности зданий и сооружений выдается соответствующими органами в установленном порядке.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3.4. Результатом экспертизы промышленной безопасности зданий и сооружений с крановыми нагрузками опасных производственных объектов является Заключение, содержащее обоснованные выводы о соответствии или несоответствии здания (сооружения) требованиям промышленной безопасности.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3.5. При обнаружении в ходе инженерного обследования технического состояния строительных конструкций зданий и сооружений с крановыми нагрузками на опасных производственных объектах критических дефектов и повреждений руководителю экспертной группы необходимо немедленно уведомить об этом владельца объекта экспертизы и территориальные органы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Ростехнадзора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 Основная цель и задачи экспертизы промышленной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безопасности зданий и сооружений 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4.1. Основной целью выполняемой экспертизы является определение технического состояния зданий и сооружений с крановыми нагрузками, их узлов и соединений для объективной оценки степени пригодности зданий и сооружений для дальнейшей эксплуатации и соответствия их требованиям промышленной безопасности.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4.2. Установить фактическое пространственное положение элементов конструкций здания или сооружения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4.3. Проверить систему службы организации безопасной эксплуатации зданий и сооружений с крановыми нагрузками опасных производственных объектов (наличие приказа о создании службы технического надзора и назначении лиц, ответственных по надзору за безопасной эксплуатацией и содержанием зданий и сооружений в исправном состоянии, наличие у них удостоверений и аттестационных документов у обслуживающего персонала).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4.4. Выявить наличие и проверить комплектность проектно-конструкторской нормативной и технической документации на устройство и эксплуатацию зданий (сооружений)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4.5. Проверить наличие и порядок заполнения паспорта и технического журнала текущих наблюдений здания (сооружения), а также наличие необходимых приборов, приспособлений и инструмента для контроля параметров и геометрических размеров элементов конструкций здания (сооружения) в процессе их эксплуатации.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4.6. Установить соответствие выполненных монтажных работ и технического обслуживания здания или сооружения ГОСТам, СНиПам и другой нормативной документации.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4.7. Проверить соответствие параметров эксплуатационных сред, климатических воздействий и динамических нагрузок величинами, принятыми при проектировании или установленным нормативными документами.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4.8. Провести оценку качества и полноту выполнения профилактических работ по эксплуатации зданий и сооружений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4.9. Проверить устранение ранее выявленных дефектов и повреждений здания или сооружения с крановыми нагрузками по замечаниям инспекции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Ростехнадзора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4.10. Установить наличие системы мониторинга технического состояния здания или сооружения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 Виды, периодичность и сроки проведения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экспертизы промышленной безопасности зданий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 сооружений 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5.1. Предусматриваются следующие виды экспертизы промышленной безопасности зданий и сооружений опасных производственных объектов: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первичная;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повторная;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внеочередная.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5.2. Первичная экспертиза проводится: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а) для вновь вводимых в эксплуатацию зданий и сооружений опасных производственных объектов: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регистрации опасного производственного объекта;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получении страхового полиса на опасный производственный объект;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б) для зданий и сооружений опасных производственных объектов, находящихся в эксплуатации: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 истечению гарантийного или общего срока службы здания (сооружения) опасного производственного объекта, установленного на основании расчетов и указанного в проектной документации;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 случае отсутствия сведений о сроках эксплуатации здания (сооружения) до первичного обследования, экспертиза проводится в течение одного месяца;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необходимости получения заключения о состоянии здания (сооружения) для регистрации опасного производственного объекта;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страховании опасного производственного объекта;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 запросу владельца здания (сооружения) опасного производственного объекта;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замене или установке дополнительного грузоподъемного крана в здании (сооружении), срок эксплуатации которого превышает 30 лет;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эксплуатации здания (сооружения) с повышенным уровнем агрессивной среды, сейсмичности, ветрового района и т.п.;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отсутствием проектно-конструкторской документации на здание (сооружение).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5.3. По результатам первичной экспертизы устанавливаются сроки проведения повторной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5.3.1. Повторная экспертиза проводится по истечении срока, установленного первичной (предыдущей) экспертизой.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5.3.2. Сроки проведения повторной экспертизы устанавливаются экспертной комиссией. Для сооружений с наземными крановыми путями срок повторной экспертизы не рекомендуется превышать 3-х лет, во всех остальных случаях - 5 лет. Уменьшение сроков проведения экспертизы обосновывается экспертной организацией.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5.3.3. Общее число повторных экспертиз определяется фактическим состоянием строительных конструкций здания (сооружения) или ограничивается экономическими факторами.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5.3.4. Сроки проведения повторной экспертизы могут быть уменьшены в 0,8 раза при наличии дополнительных отрицательных факторов, воздействующих на строительные конструкции: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нагрев свыше 200 °C;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смещение опор и неравномерные осадки фундаментов;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изменение гидрогеологической обстановки (подъем уровня грунтовых вод свыше допустимых норм);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горизонтальное смещение колонн до значений, превышающих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нормативные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вечная мерзлота, динамические и техногенные воздействия.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5.3.5. Сроки проведения повторной экспертизы могут быть уменьшены в 0,7 раза для зданий и сооружений, в которых эксплуатируются грузоподъемные краны с группой режима работы А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1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- А5 и в 0,6 раза для зданий (сооружений), в которых эксплуатируются краны с группой режима работы А6 и более, если опорные балки крановых путей для этих кранов выполнены клепанными или изготовлены из проката без листового усиления поясов.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5.3.6. Сроки проведения повторной экспертизы назначаются с учетом сменности и количества работающих в пролете кранов: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односменной работе - не более 5 лет, при 2-сменной - не более 4-х лет, при 3-сменной - не более 3-х лет.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Если количество кранов, работающих в пролете, превышает два и более, то срок проведения экспертизы необходимо принимать с учетом понижающего коэффициента, равного 0,8.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5.3.7. Если в процессе обследования здания (сооружения) выявлены дефекты и повреждения, превышающие пределы допустимого, то срок до проведения повторной экспертизы назначается не более 3-х лет.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5.4. Внеочередная экспертиза промышленной безопасности проводится: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 предписанию уполномоченных органов Федеральной службы;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после стихийных бедствий (пожаров, ураганов, наводнений, землетрясений, техногенных катастроф и т.п.);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после аварии в здании (сооружении) или аварии в зданиях (сооружениях) с аналогичным конструктивным исполнением и (или) аналогичным технологическим процессом;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превышении предельно допустимых деформаций земной поверхности;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после неконтролируемого взрыва;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в зданиях и сооружениях, попадающих в зону влияния строительных работ, в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т.ч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. подземных;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 заявке владельца здания (сооружения) на опасном производственном объекте;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изменении значений нормируемых природно-климатических нагрузок и воздействий (снеговые, гололедные и ветровые нагрузки, температурные и сейсмические воздействия) в новых редакциях СНиП;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обнаружении в ходе технического надзора критических дефектов и повреждений строительных конструкций зданий и сооружений;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изменении параметров технологического процесса в здании (сооружении) или его части;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смене владельца здания (сооружения);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 необходимости определения возможности и экономической целесообразности реконструкции зданий или сооружения (при технико-экономическом обосновании реконструкции) и после реконструкции здания (сооружения).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5.5. Нормативные сроки проектируемых и вновь строящихся зданий и сооружений устанавливаются на основе расчетов и указываются в проектной документации. В случае отсутствия сведений о нормативных сроках эксплуатации, расчетные (предельные) сроки устанавливаются на основании инженерных обследований и расчетов, выполненных с учетом фактического состояния основных несущих конструкций здания (сооружения).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5.6. Назначенный срок службы здания (сооружения) исчисляется с момента приемки его в эксплуатацию и подписания соответствующего акта. При наличии в составе здания (сооружения) нескольких очередей, срок эксплуатации исчисляется для каждой очереди отдельно. В случае проведения ремонта здания (сооружения) без замены несущих строительных конструкций, исчисление назначенного срока службы не изменяется.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6. Требования к экспертной организации и специалистам,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проводящим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экспертизу промышленной безопасности зданий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 сооружений 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6.1. Специализированная экспертная организация, осуществляющая экспертизу промышленной безопасности, и ее персонал - независимы, не подвергаются коммерческому, финансовому, административному или другому давлению, способному оказать влияние на выводы и оценку экспертной организации по техническому состоянию зданий и сооружений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6.2. Специализированная экспертная организация, осуществляющая экспертизу промышленной безопасности зданий и сооружений с крановыми нагрузками, имеет: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государственную лицензию на выполнение данного вида работ в соответствии с Федеральным законом N 128-ФЗ от 08.08.01 "О лицензировании отдельных видов деятельности" (Собрание законодательства Российской Федерации, 2001 г., N 33, часть 1, ст. 3430) и ст. 13 Федерального закона "О промышленной безопасности опасных производственных объектов");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дипломированных специалистов с высшим специальным образованием, аттестованных в качестве экспертов и специалистов в области экспертизы промышленной безопасности подъемных сооружений;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специалистов по неразрушающим методам контроля со средним техническим или высшим специальным образованием;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необходимые технические средства (испытательное оборудование, приборы, инструменты и т.п.);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нормативно-технические документы, относящиеся к экспертизе промышленной безопасности зданий и сооружений с крановыми нагрузками;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методики расчетов по проверке несущей способности элементов и конструкций зданий и сооружений с крановыми нагрузками;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протоколы и удостоверения по проверке знаний по промышленной безопасности у руководителей и специалистов.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6.3. При необходимости проведения широкого комплекса работ (исследование грунтов, обследование технических устройств, лабораторные испытания и т.д.) экспертная организация может привлекать специалистов сторонних организаций и заключать договора на использование оборудования при выполнении отдельных видов работ.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6.4. Приказом (Приложение 2, форма П.2.4) назначается персональный состав экспертной группы (комиссии), включающий не менее 3-х человек: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председатель - эксперт или специалист I категории (III уровня), отвечающий за результаты работы и технику безопасности всей группы;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члены комиссии: специалисты в области экспертизы промышленной безопасности не ниже III категории (I уровня);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 состав комиссии необходимо включить специалиста по неразрушающим методам контроля.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6.5. Для повышения категории (уровня), специалистам в области экспертизы промышленной безопасности рекомендуется проходить переаттестацию после 3-летнего стажа работы или после дополнительной переподготовки по специальным программам.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 Порядок и условия проведения экспертизы промышленной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безопасности зданий и сооружений 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7.1. Процесс проведения экспертизы включает в себя следующие этапы: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предварительный;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процесс проведения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оформление результатов и выдача заключения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7.2. Предварительный этап.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7.2.1. Предварительный этап выполняется специализированной организацией (Исполнителем) после письменного обращения владельца здания (сооружения) с крановыми нагрузками опасного производственного объекта (Заказчика) с целью оформления документов, устанавливающих порядок и условия проведения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7.2.2. Заказчик одновременно с обращением представляет специализированной организации Техническое задание на проведение экспертизы (Приложение 2, форма П.2.1).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7.2.3. Техническое задание включает в себя следующую информацию: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наименование и адрес объекта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сведения об организации - проектировщике здания (сооружения);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основания для проведения работ (истечение гарантийного или нормативного сроков эксплуатации, повторная экспертиза, внеочередная экспертиза, авария или катастрофа и т.п.);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наличие у Заказчика технической документации по объекту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дата ввода и срок эксплуатации объекта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дата регистрации (перерегистрации) объекта экспертизы в государственном реестре опасных производственных объектов;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наименование специализированных организаций, проводивших инженерное обследование на объекте ранее. Основание, объем и перечень выполненных ранее работ;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условия эксплуатации объекта инженерного обследования (краткая характеристика функционально-технологического процесса, протекающего в обследуемом сооружении, с точки зрения фактических условий эксплуатации строительных конструкций);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схемы размещения существующего и планируемого оборудования и механизмов, загазованность, вибрация, воздействие агрессивных газов и жидкостей, высокое напряжение и т.п. Форма справки о характере и условиях эксплуатации строительных конструкций приведена в Приложении 2 (форма П.2.2).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7.2.4. В соответствии с заявкой и полученным техническим заданием проводятся предварительные переговоры экспертной организации с Заказчиком, в процессе которых обсуждаются следующие вопросы: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содержание и ход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подготовительные работы для проведения экспертизы на объекте;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составление и утверждение календарного плана и программы выполнения работ;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устанавливаются условия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проведения экспертизы согласно поданной заявке.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7.2.5. После предварительных переговоров составляются документы на проведение экспертизы, в которых определяются: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договаривающиеся стороны;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объекты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сроки проведения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7.2.6. Приводится перечень необходимых информационных материалов для проведения экспертизы в соответствии с действующей нормативной и технической документации.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7.2.7. Заказчиком подтверждается согласие выполнить требования, обязательные для проведения экспертизы, в частности, по подготовке строительных конструкций к экспертизе, принятию группы экспертов и оплате расходов за проведение экспертизы независимо от ее результатов.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7.2.8. Сроки проведения экспертизы определяются сложностью объекта, но не рекомендуется назначать их более трех месяцев с момента получения необходимых материалов и документов в соответствии с действующей нормативно-технической документацией.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7.2.9. При получении в полном объеме необходимых материалов и документов, специализированная организация может приступить к экспертизе объекта.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 Экспертиза объекта состоит из следующих этапов: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вводная часть;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непосредственно экспертиза объекта;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заключительная часть.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7.3.1. Во вводной части заказчику разъясняется: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цель и задачи проводимой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сообщается о том, что любые сведения и информация, полученные в ходе экспертизы, рассматриваются как конфиденциальные с учетом требований законодательства РФ;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определяются и обсуждаются объемы предстоящих работ;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определяется и согласовывается количество и состав сотрудников от заказчика, которые будут сопровождать экспертов.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7.3.2. Для проведения экспертизы, Заказчиком (организация или индивидуальные предприниматели - владельцы зданий и сооружений с крановыми нагрузками):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издается приказ о проведении экспертизы (Приложение 2, форма П.2.3);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осуществляется подготовка здания или сооружения (в соответствии с программой работ) к экспертизе с целью исключения возможности несчастных случаев;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подготавливается техническая и проектно-конструкторская документация с расчетами и паспорт (если он имеется) на здание или сооружение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7.3.3. По прибытии на объект специализированная организация выполняет следующие работы: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производит предварительный осмотр элементов и конструкций здания или сооружения;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изучает техническую документацию на данный объект;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при обнаружении аварийного состояния несущих элементов и конструкций руководитель группы экспертов в течение 3-х суток в письменной форме уведомляет об этом Заказчика и направляет копию уведомления в территориальные органы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Ростехнадзора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7.3.4. Оформляется хозяйственный договор на выполнение работ по экспертизе объекта.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7.3.5. Для проведения экспертизы Заказчик представляет следующие материалы и документацию: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данные о Заказчике и объекте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карты рельефа местности, геологические разрезы в районе площадки здания (сооружения);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геодезические съемки за весь период эксплуатации и геодезическую съемку за период проведения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проектную, конструкторскую, эксплуатационную, ремонтную документацию, декларацию промышленной безопасности объекта, паспорта и инструкции, технологические регламенты и другую документацию, имеющую шифры или индикацию, необходимую для идентификации объекта;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акты испытаний, при необходимости, сертификаты на комплектующие изделия и прочностные расчеты;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сведения о паспортных нагрузках на элементы конструкций;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материалы проводимых ранее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экспертизах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, включая техническое заключение о состоянии элементов конструкций здания (сооружения);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проектную документацию на усиление и ремонт элементов и конструкций по результатам ранее выполненной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сертификаты на сталь, метизы, электроды, железобетонные изделия, использованные при изготовлении и проводимых ремонтах;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сведения об отклонениях от нормальной эксплуатации каркаса здания, связанные с эксплуатацией кранов;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журнал текущих осмотров здания или сооружения;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нормативно-техническую документацию, которой руководствуется служба надзора при осмотрах конструкций здания или сооружения с крановыми нагрузками;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документы, характеризующие состояние внутрицеховой среды, влияющей на состояние элементов конструкций здания или сооружения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7.3.6. При несоответствии представленных материалов и документов установленным требованиям, экспертная организация в течение семи дней уведомляет Заказчика о сроках представления материалов и документов в полном объеме.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7.3.7. При непредставлении в согласованный заказчиком и экспертной организацией срок запрашиваемых материалов и документации экспертиза не проводится, а материалы и документы возвращаются Заказчику.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7.4. Процесс проведения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7.4.1. В процессе проведения экспертизы Заказчик обеспечивает: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безопасный доступ к обследуемым строительным конструкциям, в том числе с использованием вспомогательных технических средств;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вскрытие (зондаж) строительных конструкций с отбором проб;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подготовку участков для проведения испытаний методами неразрушающего (разрушающего) контроля;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выделение спецодежды, средств индивидуальной защиты и безопасности.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7.4.2. Содержание и объем основных работ по экспертизе строительных конструкций объекта определяется утвержденной программой проведения экспертизы промышленной безопасности зданий и сооружений с крановыми нагрузками.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7.4.3. В общем случае основными задачами инженерно-геологических изысканий и оценки технического состояния строительных конструкций зданий (сооружений) опасных производственных объектов является определение: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наличия, полноты и качества проектно-конструкторской и эксплуатационной документации;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наличия службы надзора за безопасной эксплуатацией и содержанием зданий и сооружений в исправном состоянии;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состояния здания (сооружения) с целью возможности его дальнейшей эксплуатации или определения необходимости капитального ремонта, реконструкции, изменения технологического процесса или ликвидации (сноса) здания (сооружения);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результатов проверки материалов ранее проводимых экспертиз и выполнение работ по рекомендациям и замечаниям экспертиз.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7.4.4. В результате выполнения на объекте работ по экспертизе должны быть получены следующие данные: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информация об особенностях проектирования, строительства и эксплуатации строительных конструкций объекта экспертизы (период строительства, характер природно-климатических условий эксплуатации строительных конструкций, особенности объемно-планировочного и конструктивного решения здания и систем его инженерного оборудования);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сведения о проектных решениях, принятых на основании нормативных документов, которые действовали в период проектирования, но в последующем были изменены или отменены. В первую очередь это относится к правилам расчета и конструирования, а также к выбору расчетных параметров;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источники, характер и интенсивность воздействия технологических процессов и оборудования на эксплуатационную среду и строительные конструкции (вес и схема размещения оборудования, вибрационные и ударные нагрузки от оборудования, температурные и влажностные воздействия, пролив технологических жидкостей и т.п.);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условия эксплуатации и фактические (прогнозируемые) расчетные нагрузки и воздействия на строительные конструкции;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фактические физико-механические характеристики используемых строительных материалов;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ведомости и схемы (картограммы) выявленных дефектов и повреждений, а также возможные причины их возникновения;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предварительная классификация выявленных дефектов и повреждений на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малозначительные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, значительные и критические;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предварительная оценка технического состояния строительных конструкций, выполненная путем сопоставления выявленных дефектов (повреждений) с требованиями действующих нормативных документов, а также с основными признаками соответствующей категории технического состояния;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оценка уровня организации эксплуатации и технического надзора за состоянием строительных конструкций объекта экспертизы, в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т.ч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. проведения мониторинга строительных конструкций с помощью технических средств, а также объемов, качества и своевременности проведения планово-предупредительных ремонтов.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7.4.5. При необходимости разработки проекта производства работ для устранения дефектов эту работу может выполнить специализированная экспертная организация, имеющая лицензию на проектирование по отдельному соглашению с Заказчиком.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 Порядок оформления результатов и заключения экспертизы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промышленной безопасности зданий и сооружений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8.1. Экспертиза промышленной безопасности зданий и сооружений опасных производственных объектов с крановыми нагрузками и оформление заключения экспертизы осуществляется в соответствии с правилами проведения экспертизы промышленной безопасности (ПБ 03-246-98).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8.2. Результаты экспертизы оформляются в виде "отчета по экспертизе промышленной безопасности зданий и сооружений с крановыми нагрузками".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Отчет состоит из основной части и приложений и включает следующие разделы: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титульный лист, где дается краткая информация об экспертной организации и о привлеченных ею других организациях и экспертах, о видах работ, об ответственных исполнителях, шифрах работ;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оглавление;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ксерокопия лицензии на право проведения работ;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пояснительная записка, в которой излагается характеристика здания и сооружения, его параметры, конструктивные решения, материалы конструкций, данные о ранее проводимых экспертизах, реконструкциях, сведения об имеющейся документации, данные о методическом и приборном оснащении, применяемом при экспертизе и другие общие сведения.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8.3. В пояснительной записке приводится необходимая информация об объекте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8.3.1. Результаты инженерно-геологических изысканий грунтового массива строительной площадки (параметры упругих, физико-механических и динамических характеристик свой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ств сл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оев грунтов, их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сплошности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и однородности по результатам инженерно-геологических изысканий и лабораторных испытаний проб грунтов, уровень грунтовых вод, наличие полостей).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8.3.2. Оценка технического состояния строительных конструкций: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фактические размеры между осями основных конструктивных элементов (пролеты, шаги колонн, отметки по высоте, расстояние между узлами (при необходимости);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отклонения габаритных размеров и длин конструктивных элементов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проектных (при необходимости);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пространственное положение элементов строительных конструкций (осадки фундаментов, прогибы, крены, наклоны и т.п.);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наличие и расположение элементов связей, стыков, мест смены сечений, ребер и т.д.;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фактические размеры сечений элементов и их соединений (подлежащие измерению сечения элементов и их соединений определяет руководитель работ);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наличие скрытых дефектов конструктивных элементов зданий (сооружений).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8.3.3. Дефекты и повреждения элементов, узлов в виде ведомостей с указанием методов их устранения.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 ведомости наряду с эскизом дефекта или повреждения указывается категория его опасности, устанавливается по признакам: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А - дефекты и повреждения особо ответственных элементов и соединений, представляющие опасность разрушения. Если в результате экспертизы обнаруживаются повреждения группы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А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, то соответствующую часть конструкций следует немедленно вывести из эксплуатации до выполнения необходимого ремонта или усиления;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Б - дефекты и повреждения, не грозящие опасностью разрушений конструкций, но могущие в дальнейшем вызвать повреждения других элементов и узлов или при развитии повреждений перейти в категорию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А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В - дефекты и повреждения локального характера, которые при последующем развитии не могут оказать влияния на другие элементы и конструкции (повреждения вспомогательных конструкций, площадок, местные прогибы и вмятины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ненапряжения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конструкций и т.п.).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8.3.4. Следует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зафиксировать выявленные при экспертизе фактические постоянные и временны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нагрузки, температурные воздействия и другие условия эксплуатации (режим, сменность и количество кранов в здании).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8.3.5.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Качество материалов конструкций и их соединений: ферм, балок, колонн, плит, узлов соединений (заклепочных, сварных, болтовых) и пр. (выполняется при необходимости).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8.3.6. Результаты сравнительного анализа фактического состояния здания или сооружения с проектно-конструкторской документацией: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выявленные отступления от действующей нормативно-технической документации (СНиПы, ГОСТы и т.п.) при проектировании и строительстве;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несоответствие габаритов, температурных швов;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трудно устранимые, давно существующие дефекты;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применение кипящих марок стали;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несоответствующая нормам марка бетона;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концентраторы напряжения;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обводнение грунтов, утяжеление кровель и другие факторы;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наличие скрытых дефектов.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8.3.7. Результаты проверочных расчетов конструкций, их элементов с учетом их фактического состояния, действующих и прогнозируемых нагрузок, воздействий и фактических свойств материалов.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8.4. Краткие сведения результатов экспертизы приводятся в техническом заключении о состоянии строительных конструкций.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8.4.1. Техническое заключение (структура дана в Приложении 2, форма П.2.5) о состоянии зданий и сооружений составляется объемом 4 - 5 страниц машинописного текста.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8.4.2. В техническом заключении указывается: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наименование объекта экспертизы, кем проводилась экспертиза, кем выдана лицензия и срок ее действия;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причина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краткое описание вида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выводы по состоянию несущих конструкций здания (сооружения);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условия дальнейшей эксплуатации или вывода из эксплуатации;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срок следующей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какому территориальному органу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Ростехнадзора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и когда дана информация по состоянию объекта при обнаружении аварийного состояния.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Указанный выше перечень вопросов может быть дополнен в зависимости от поставленной цели и задач проводимой экспертизы.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Заключение подписывается лицами, проводившими экспертизу, и утверждается руководителем экспертной организации.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8.5. В приложении к техническому отчету выносятся: данные геодезической съемки, необходимые чертежи здания (сооружения), чертежи по результатам замеров (в случае необходимости), результаты проверочного расчета, протоколы испытаний материалов, справки о снеговых и ветровых нагрузках, копии других документов, представляющие интерес для оценки технического состояния здания (сооружения).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8.6. Срок до проведения повторной экспертизы назначается в соответствии раздела 5 настоящих Рекомендаций. При назначении срока повторной экспертизы специализированная экспертная организация учитывает следующие сведения: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срок службы здания (сооружения), характер и условия эксплуатации;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текущие значения характеристик, влияющих на безопасность и долговечность здания (величины возможных отклонений от требований проектной документации, степень их влияния на безопасность и долговечность и т.п.);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текущие значения параметров технического состояния строительных конструкций;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характер изменения параметров технического состояния;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уровень организации системы эксплуатации (организация технического надзора, наличие и квалификация эксплуатирующего персонала, своевременность и объем планово-предупредительных ремонтов);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объем планируемых ремонтно-восстановительных работ.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8.7. Максимально возможный срок продления эксплуатации здания (сооружения) может быть рекомендован при удовлетворительной организации системы эксплуатации, а также отсутствии значительных и критических дефектов и повреждений строительных конструкций. Неудовлетворительная организация технического надзора,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неукомплектованность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штатов и низкая квалификация персонала, по эксплуатации здания (сооружения), несвоевременность проведения планово-предупредительных ремонтов является основанием для снижения сроков проведения экспертизы. Величина уменьшения сроков проведения повторной экспертизы обосновывается комиссией.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8.8. При формировании выводов о необходимости и сроках устранения дефектов и повреждений исходить из следующего: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критические дефекты и повреждения, препятствующие нормальному функционированию технологического процесса, подлежат немедленному устранению;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значительные дефекты и повреждения подлежат устранению в срок 1 - 3 месяца;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малозначительные дефекты и повреждения могут быть устранены в рамках системы планово-предупредительных ремонтов в период эксплуатации до проведения очередной повторной экспертизы промышленной безопасности.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При назначении сроков устранения дефектов и повреждений экспертной комиссией учитывается величина превышения допустимых значений дефектов и повреждений, степень влияния на безопасность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эксплуатации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как строительных конструкций, так и технологического оборудования.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 случае, когда значительный дефект или повреждение является следствием отклонений, допущенных при монтаже (например, отклонение колонн по высоте, от вертикали и т.д.), и в ходе обследования не выявлено признаков его развития, то такой дефект или повреждение может быть оставлен без устранения (или выполнения мероприятий по усилению) на период до проведения следующей экспертизы.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При этом целесообразно рекомендовать при эксплуатации проводить периодический контроль состояния таких конструкций и элементов.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8.9. Заключение экспертизы промышленной безопасности зданий и сооружений оформляется в соответствии с "Правилами проведения экспертизы промышленной безопасности" (ПБ 03-246-98, N 64 от 06.11.1998).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8.10. Заключение экспертизы содержит: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наименование заключения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вводную часть, включающую основание для проведения экспертизы, сведения об экспертной организации, экспертах и наличии лицензии на право проведения экспертизы промышленной безопасности;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перечень объектов экспертизы, на которые распространяется заключение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данные о заказчике;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цель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сведения о рассмотренных в процессе экспертизы документах (проектных, конструкторских, эксплуатационных, ремонтных, декларация промышленной безопасности) с указанием объема материалов, имеющих шифр, номер, марку и другую индикацию, необходимую для идентификаций, в зависимости от объекта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краткую характеристику и назначение объекта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результаты проведенной экспертизы;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заключительную часть с выводами и рекомендациями;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приложения, содержащие перечень использованной при экспертизе нормативной, технической и методической документации, акты испытаний (при проведении испытаний силами экспертной организации).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8.11. Заключение экспертизы подписывается исполнителем (экспертом) специализированной организации, прошивается с указанием количества сшитых страниц, удостоверяется руководителем, заверяется печатью экспертной организации и передается Заказчику.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8.12. Заключение экспертизы представляется Заказчиком в уполномоченные органы </w:t>
      </w:r>
      <w:proofErr w:type="spell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Ростехнадзора</w:t>
      </w:r>
      <w:proofErr w:type="spell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для регистрации и утверждения в порядке, установленном "Положением о порядке утверждения заключений экспертизы промышленной безопасности" (РД-03-298-99), утвержденным Постановлением Госгортехнадзора России N 51 от 14.07.1999.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8.13. Экспертиза промышленной безопасности считается не выполненной, если представленные документы по ней возвращаются на доработку или заключение экспертизы не представлено на утверждение в течение одного месяца с момента его подписания руководителем экспертной организации.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9. Особые случаи проведения экспертизы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 особым случаям проведения экспертизы относится: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экспертиза поврежденных и разрушившихся конструкций вследствие аварии, вызванной техногенными или природными причинами;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экспертная оценка состояния конструкций объекта (сокращенная форма обследования), осуществляемая при специально поставленных Заказчиком задачах или по требованию контролирующих органов: подтверждение безопасности объекта при аварии на аналогичном по технологии объекте, определение возможности эксплуатации объекта в ограниченные сроки, определение уровня обеспечения безопасной эксплуатации объекта Владельцем и т.д.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Приложение 1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ОТРАСЛЕВЫЕ НОРМАТИВНЫЕ СРОКИ ЭКСПЛУАТАЦИИ ЭЛЕМЕНТОВ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СТРОИТЕЛЬНЫХ КОНСТРУКЦИЙ ЗДАНИЙ И СООРУЖЕНИЙ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Таблица П.1.1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ОТРАСЛЕВЫЕ НОРМАТИВНЫЕ СРОКИ ЭКСПЛУАТАЦИИ ЭЛЕМЕНТОВ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СТАЛЬНЫХ КОНСТРУКЦИЙ ДО КАПИТАЛЬНОГО РЕМОНТА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ИЛИ ИХ ПОЛНОЙ ЗАМЕНЫ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1215"/>
        <w:gridCol w:w="945"/>
        <w:gridCol w:w="1080"/>
        <w:gridCol w:w="1080"/>
      </w:tblGrid>
      <w:tr w:rsidR="00A514CB" w:rsidRPr="00A514CB" w:rsidTr="00184C4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Стальные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конструкции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надземных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крановых путей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Группа классификации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работы крана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по ИСО 4301/1     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Срок эксплуатации, лет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среда             </w:t>
            </w:r>
          </w:p>
        </w:tc>
      </w:tr>
      <w:tr w:rsidR="00A514CB" w:rsidRPr="00A514CB" w:rsidTr="00184C4F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Неагре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сивная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агрес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сивная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агрес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сивная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Сильн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агрес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сивная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Стальные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конструкции и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элементы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надземных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крановых путей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Легкий, средний (А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А6)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20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Тяжелый (А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25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Весьма тяжелый (А8)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     </w:t>
            </w:r>
          </w:p>
        </w:tc>
      </w:tr>
    </w:tbl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Таблица П.1.2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ОТРАСЛЕВЫЕ НОРМАТИВНЫЕ СРОКИ ЭКСПЛУАТАЦИИ ЭЛЕМЕНТОВ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СТАЛЬНЫХ КОНСТРУКЦИЙ, ПОСЛЕ КОТОРЫХ РЕКОМЕНДУЕТСЯ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ПРОВОДИТЬ ИХ ЭКСПЕРТИЗУ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510"/>
        <w:gridCol w:w="1755"/>
        <w:gridCol w:w="1080"/>
        <w:gridCol w:w="1080"/>
      </w:tblGrid>
      <w:tr w:rsidR="00A514CB" w:rsidRPr="00A514CB" w:rsidTr="00184C4F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Стальные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конструкции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надземных крановых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путей      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Группа классификации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работы крана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по ИСО 4301/1  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Срок эксплуатации, лет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среда            </w:t>
            </w:r>
          </w:p>
        </w:tc>
      </w:tr>
      <w:tr w:rsidR="00A514CB" w:rsidRPr="00A514CB" w:rsidTr="00184C4F">
        <w:trPr>
          <w:cantSplit/>
          <w:trHeight w:val="4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Неагресси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слабо-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агрессивная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агрес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сивная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Сильн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агрес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сивная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Стальные   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конструкции и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элементы надземных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крановых путей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Легкий, средний (А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А6)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18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Тяжелый (А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)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8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8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Весьма тяжелый (А8)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8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</w:t>
            </w:r>
          </w:p>
        </w:tc>
      </w:tr>
    </w:tbl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Таблица П.1.3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ОТРАСЛЕВЫЕ НОРМАТИВНЫЕ СРОКИ ЭКСПЛУАТАЦИИ ЭЛЕМЕНТОВ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ЖЕЛЕЗОБЕТОННЫХ КОНСТРУКЦИЙ ДО КАПИТАЛЬНОГО РЕМОНТА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ИЛИ ПОЛНОЙ ЗАМЕНЫ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┌────────────────────┬─────────────┬──────────────────────────────────────┐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Типы строительных  │   Группа    │        Срок эксплуатации, лет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конструкций     │классификации├──────────────────────────────────────┤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│работы крана │                среда        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│по ИСО 4301/1├────────┬─────────┬─────────┬─────────┤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неагре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слабоаг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среднеаг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сильноаг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сивная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рессивная│рессивная│рессивная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1          │      2      │   3    │    4    │    5    │    6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│Фундаменты:         │             │        │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│железобетонные и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│60      │50       │30       │25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│бетонные;  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А8      │50      │45       │25       │20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│бутовые и кирпичные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│50      │40       │25       │20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А8      │40      │35       │20       │15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│Стены:              │             │        │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│железобетонные и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│25      │20       │18       │15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│бетонные;  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А8      │20      │18       │15       │12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│каменные из штучных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│25      │20       │18       │15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│материалов;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А8      │20      │18       │15       │12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│каменные облегченной│А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│18      │15       │12       │8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│кладки     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А8      │15      │12       │10       │6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│Колонны    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│60      │50       │45       │40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│железобетонные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│55      │45       │40       │35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│А8           │45      │40       │35       │30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│Фермы железобетонные│А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│30      │25       │20       │15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А8      │25      │20       │15       │15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│Балки крановых путей│А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А6      │30      │25       │20       │17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│железобетонные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7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│20      │15       │12       │12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│А8           │15      │12       │10       │8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│Покрытия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│В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се режимы   │25      │20       │18       │15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│железобетонные      │             │        │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├────────────────────┼─────────────┼────────┼─────────┼─────────┼─────────┤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│Перекрытия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│В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се режимы   │25      │20       │18       │15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│железобетонные      │             │        │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├────────────────────┼─────────────┴────────┴─────────┼─────────┴─────────┤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│Нормальные условия              │Условия сурового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│                                │климата и 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агрес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          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сивных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воздействий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├─────────────┬────────┬─────────┼─────────┬─────────┤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│15      │15       │10       │10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└────────────────────┴─────────────┴────────┴─────────┴─────────┴─────────┘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Таблица П.1.4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ОТРАСЛЕВЫЕ СРОКИ ЭКСПЛУАТАЦИИ, ПОСЛЕ КОТОРЫХ РЕКОМЕНДУЕТСЯ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ПРОВОДИТЬ ЭКСПЕРТИЗУ ЗДАНИЙ И СООРУЖЕНИЙ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890"/>
        <w:gridCol w:w="1755"/>
        <w:gridCol w:w="1350"/>
        <w:gridCol w:w="1350"/>
      </w:tblGrid>
      <w:tr w:rsidR="00A514CB" w:rsidRPr="00A514CB" w:rsidTr="00184C4F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Конструкции, подлежащие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обследованию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Группа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классификации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работы крана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по ИСО 4301/1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Срок эксплуатации, лет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Среда              </w:t>
            </w:r>
          </w:p>
        </w:tc>
      </w:tr>
      <w:tr w:rsidR="00A514CB" w:rsidRPr="00A514CB" w:rsidTr="00184C4F">
        <w:trPr>
          <w:cantSplit/>
          <w:trHeight w:val="48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неагресси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слабо-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агрессивная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среднеа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рессивная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сильноа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рессивная</w:t>
            </w:r>
            <w:proofErr w:type="spellEnd"/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Фундаменты монолитные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А8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20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Фундаменты сборные блочные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То же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8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Стеновые панели и блоки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То же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Колонны и стойки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8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А8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Конструкции крановых путей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(балки, консоли колонн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зданий)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8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А8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Стропильные и      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подстропильные фермы,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балки, ригели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</w:tr>
      <w:tr w:rsidR="00A514CB" w:rsidRPr="00A514CB" w:rsidTr="00184C4F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А8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       </w:t>
            </w:r>
          </w:p>
        </w:tc>
      </w:tr>
      <w:tr w:rsidR="00A514CB" w:rsidRPr="00A514CB" w:rsidTr="00184C4F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Плиты покрытия и   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перекрытия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А8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</w:tr>
    </w:tbl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Таблица П.1.5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ОТРАСЛЕВЫЕ СРОКИ ЭКСПЛУАТАЦИИ, ПОСЛЕ КОТОРЫХ РЕКОМЕНДУЕТСЯ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ПРОВОДИТЬ ЭКСПЕРТИЗУ ЗДАНИЙ И СООРУЖЕНИЙ 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НАЗЕМНОЙ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КОСМИЧЕСКОЙ ИНФРАСТРУКТУРЫ КОСМОДРОМОВ (НКИК)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┌─────────────┬───────────────────────────────────────┬─────────┬─────────┐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Наименование,│Особенности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конструктивного исполнения │Срок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до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│Срок до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тип здания, │        и условий эксплуатации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первичной│повторной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сооружения  │                              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экспе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р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экспер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       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тизы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лет│тизы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, лет│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1      │                   2                   │    3    │    4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├─────────────┴───────────────────────────────────────┴─────────┴─────────┤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1. Здания и сооружения объектов НКИ космодромов    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1.1. Здания и сооружения стартового комплекса     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├─────────────┬───────────────────────────────────────┬─────────┬─────────┤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│Стартовые    │Заглубленные железобетонные сооружения.│10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│сооружения   │Нагрузки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пускового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│подъемно-транспортного оборудования;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│воздействие пусковых нагрузок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│газодинамической струи;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│возможно воздействие нагрузок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│аварийного взрыва,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заправленной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РКН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├─────────────┴───────────────────────────────────────┴─────────┴─────────┤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1.2. Здания и сооружения технического комплекса    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├─────────────┬───────────────────────────────────────┬─────────┬─────────┤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│Монтажн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│Сооружения с металлическим каркасом.   │15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испытательные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│Наличие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подъемных сооружений - кранов с│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│корпуса,     │группой классификации 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А5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│включая      ├───────────────────────────────────────┼─────────┼─────────┤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испытательн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│Сооружения с железобетонным или        │10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лабораторную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│комбинированным каркасом.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│часть        │Наличие подъемных сооружений - кранов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│группой классификации 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А5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│Хранилища    │Сооружения с металлическим каркасом.   │15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│составных    │Наличие подъемных сооружений - кранов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│частей РКН   │группой классификации 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А5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├───────────────────────────────────────┼─────────┼─────────┤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│Сооружения с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железобетонным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       │10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│комбинированным каркасом.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│Наличие подъемных сооружений - кранов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│группой классификации 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А5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Ресиверные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,  │Сооружения с металлическим каркасом.   │15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компрессорные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│Наличие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поднадзорных объектов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│и др. здания,│(подъемные сооружения, сосуды)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│сооружения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├───────────────────────────────────────┼─────────┼─────────┤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│технолог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и-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│Сооружения с железобетонным или        │10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ческим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│комбинированным каркасом. Наличие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оборудованием│поднадзорных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объектов (подъемные      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│сооружения, сосуды)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│Сооружения с металлическим каркасом.   │10       │4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│кие корпуса  │Наличие поднадзорных объектов (краны с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│заправочн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│группой классификации А1 - А5, сосуды)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│нейтрализаци-├───────────────────────────────────────┼─────────┼─────────┤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онных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станций│Сооружения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железобетонным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       │6        │4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│комбинированным каркасом. Наличие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│поднадзорных объектов (краны с группой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│классификации 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А5, сосуды)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Теплоэлектр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│Наличие поднадзорных объектов          │15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│централи,    │(подъемные сооружения, котлы, сосуды)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│котельные    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├─────────────┤                                       ├─────────┼─────────┤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│Насосные     │                                       │15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│станции и    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электропод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  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│станции      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│Здания 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цехов,│Сооружения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металлическим каркасом.   │15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│стендовых,   │Наличие поднадзорных объектов          │10 &lt;*&gt;   │4 &lt;*&gt;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│испытательных│(подъемные сооружения с группой       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│и            │классификации 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А5, сосуды)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│лабораторных ├───────────────────────────────────────┼─────────┼─────────┤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│корпусов     │Сооружения с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железобетонным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комби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 │10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нированным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каркасом.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│Наличие поднадзорных объектов (подъем- │6 &lt;*&gt;    │4 &lt;*&gt;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ные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сооружения с группой классификации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│А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1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 А5, сосуды)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│Склады,      │Сооружения с металлическим каркасом.   │10       │4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│хранилища    │Хранение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агрессивных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КРТ; наличие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│КРТ, иных    │поднадзорных объектов (подъемные      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│веществ в    │сооружения, сосуды)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├───────────────────────────────────────┼─────────┼─────────┤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│с </w:t>
      </w:r>
      <w:proofErr w:type="spellStart"/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│Сооружения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железобетонным или        │6        │4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законом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│комбинированным каркасом.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│N 116-ФЗ     │Хранение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агрессивных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КРТ; наличие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│от 21.07.97  │поднадзорных объектов (подъемные      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│сооружения, сосуды)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├─────────────┼───────────────────────────────────────┼─────────┼─────────┤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│Здания       │Наличие поднадзорных объектов          │15       │5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│(сооружения) │(подъемные сооружения, котлы, сосуды)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│предприятий  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энерго</w:t>
      </w:r>
      <w:proofErr w:type="spellEnd"/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-,     │                                      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│тепл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о-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    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│водоснабжения│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│(ТЭЦ, 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котель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-│                                       │         │         │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ные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, насосные│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│и пр.)       │                                       │         │         │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└─────────────┴───────────────────────────────────────┴─────────┴─────────┘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&lt;*&gt; Срок до проведения экспертизы при нахождении конструкций в сильноагрессивной среде. При наличии кранов с режимом работы А</w:t>
      </w:r>
      <w:proofErr w:type="gramStart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</w:t>
      </w:r>
      <w:proofErr w:type="gramEnd"/>
      <w:r w:rsidRPr="00A514CB">
        <w:rPr>
          <w:rFonts w:ascii="Arial" w:eastAsiaTheme="minorEastAsia" w:hAnsi="Arial" w:cs="Arial"/>
          <w:sz w:val="20"/>
          <w:szCs w:val="20"/>
          <w:lang w:eastAsia="ru-RU"/>
        </w:rPr>
        <w:t xml:space="preserve"> - А8 срок до проведения первичной экспертизы уменьшается на 5 лет по сравнению со значениями, указанными в таблице.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Приложение 2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ФОРМЫ РАБОЧЕЙ И ОТЧЕТНОЙ ДОКУМЕНТАЦИИ ПРИ ПРОВЕДЕНИИ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ТЕХНИЧЕСКОЙ ДИАГНОСТИКИ И ОЦЕНКИ ТЕХНИЧЕСКОГО СОСТОЯНИЯ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ПРОМЫШЛЕННОЙ БЕЗОПАСНОСТИ ЗДАНИЙ И СООРУЖЕНИЙ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Форма П.2.1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(рекомендуемая)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Утверждаю: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Руководитель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организации-заказчика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(подпись)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"__" _______ 20__ г.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Техническое задание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на проведение экспертизы промышленной безопасности здания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(сооружения)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Оформление титульного листа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Название объекта 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Заказчик 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Генеральный проектировщик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здания (сооружения) 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Краткая  характеристика  объекта  экспертизы:   габаритные  размеры  здания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(сооружения) 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Тип и конструкция здания (сооружения) 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Дата ввода в эксплуатацию 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Краткие сведения об объекте экспертизы 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Наличие и состав документации: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проектно-конструкторской 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эксплуатационной 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нормативно-технической 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Дата  регистрации  (перерегистрации)   в  государственном  реестре  объекта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экспертизы 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Результаты ранее выполненных работ по экспертизе объекта 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специализированной организации, проводившей экспертизу 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Условия эксплуатации: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характеристика  функционально-технологического процесса, указание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проектных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нагрузок на строительные конструкции 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схемы  размещения  существующего   (а  при  необходимости)  и  планируемого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оборудования и механизмов 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характеристики  загазованности,  вибрации,  агрессивности  производственной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среды 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количество кранов в здании, режим их работы и смежности 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цель работы 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технические условия 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содержание работы 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сроки выполнения работы 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форма представления результатов 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Порядок приемки работы 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Исполнитель:                                        Заказчик: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                             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                             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(Ф.И.О., должность)                                 (Ф.И.О., должность)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Форма П.2.2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Справка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характере и условиях эксплуатации строительных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конструкций здания (сооружения) 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"Утверждаю"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Главный инженер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предприятия,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наименование и номер объекта)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"__" _______ 20_ г. 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8775"/>
        <w:gridCol w:w="945"/>
      </w:tblGrid>
      <w:tr w:rsidR="00A514CB" w:rsidRPr="00A514CB" w:rsidTr="00184C4F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Фактическое использование здания, сооружения             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(где и какой технологический процесс обеспечивается)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Характеристика технологических нагрузок (статических,    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динамических, постоянных, временных) с учетом возможного 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изменения в течение всего срока службы и на перспективу до 5 лет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Интенсивность воздействия временных технологических нагрузок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(кол-во часов, дней в году) с учетом возможного изменения в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течение всего срока службы и на перспективу до 5 лет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Температурные условия эксплуатации здания, сооружения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36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Характеристика среды, в которой эксплуатируется здание,      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сооружение: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степень агрессивности по СНиП 2.03.11-85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пожароопасность</w:t>
            </w:r>
            <w:proofErr w:type="spellEnd"/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по ПУЭ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взрывоопасность по ПУЭ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Сейсмичность района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данные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Справку составил 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(подпись, Ф.И.О., должность, дата)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Форма П.2.3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ФОРМА ПРИКАЗА НА ПРОВЕДЕНИЕ ЭКСПЕРТИЗЫ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ОРГАНИЗАЦИИ - ВЛАДЕЛЬЦА ЗДАНИЯ (СООРУЖЕНИЯ) ОПАСНОГО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ПРОИЗВОДСТВЕННОГО ОБЪЕКТА С КРАНОВЫМИ НАГРУЗКАМИ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ПРИКАЗ N 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по 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(наименование организации - владельца здания, сооружения)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                                      "__" _____________ 20__ г.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(город)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  целью определения возможности и условий дальнейшей эксплуатации в период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 ______ по ______ 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(наименование специализированной экспертной организации)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проводится  экспертиза промышленной безопасности зданий и сооружений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нашего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предприятия.   Для   обеспечения   указанной   экспертизы    (обследования)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ПРИКАЗЫВАЮ: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Представить  для  проведения  экспертизы  промышленной  безопасности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следующие здания, сооружения: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645"/>
        <w:gridCol w:w="1890"/>
      </w:tblGrid>
      <w:tr w:rsidR="00A514CB" w:rsidRPr="00A514CB" w:rsidTr="00184C4F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Наименование, номер здания,   </w:t>
            </w: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сооружения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проведения экспертизы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514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514CB" w:rsidRPr="00A514CB" w:rsidTr="00184C4F">
        <w:trPr>
          <w:cantSplit/>
          <w:trHeight w:val="1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514CB" w:rsidRPr="00A514CB" w:rsidTr="00184C4F">
        <w:trPr>
          <w:cantSplit/>
          <w:trHeight w:val="1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4CB" w:rsidRPr="00A514CB" w:rsidRDefault="00A514CB" w:rsidP="00A5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Возложить на _____________________________ обязанности по подготовке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(должность, Ф.И.О.)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технической  документации  и  необходимых  справок  для  работы   комиссии,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обеспечению  условий  проведения экспертизы, обеспечению обследуемых зданий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эксплуатирующим персоналом, оказанию помощи комиссии в ее работе, выделению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помещения для комиссии и обеспечению охраны имущества комиссии.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Возложить  ответственность  и  надзор за соблюдением  Правил техники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безопасности при проведении экспертизы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(Ф.И.О., должность сотрудника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организации - владельца оборудования)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и 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(Ф.И.О., должность сотрудника организации, проводящей экспертизу)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            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 руководителя организации-владельца)            (подпись, Ф.И.О.)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Форма П.2.4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ФОРМА ПРИКАЗА НА ПРОВЕДЕНИЕ ЭКСПЕРТИЗЫ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СПЕЦИАЛИЗИРОВАННОЙ ЭКСПЕРТНОЙ ОРГАНИЗАЦИИ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ПРИКАЗ N 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                                            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(город)                                                     (дата)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 проведении экспертизы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промышленной безопасности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здания (сооружения)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  целью  определения  возможности  и  условий  дальнейшей эксплуатации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здания (сооружения) и в соответствии с договором N __ от "__" _____ 200_ г.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организации - владельца здания, сооружения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и место ее нахождения)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ПРИКАЗЫВАЮ: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Назначить комиссию по экспертизе (обследованию) в следующем составе: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Председатель комиссии 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Члены комиссии: 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КонсультантПлюс</w:t>
      </w:r>
      <w:proofErr w:type="spell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: примечание.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Нумерация пунктов дана в соответствии с официальным текстом документа.</w:t>
      </w:r>
    </w:p>
    <w:p w:rsidR="00A514CB" w:rsidRPr="00A514CB" w:rsidRDefault="00A514CB" w:rsidP="00A514C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2. Комиссии  провести  экспертизу  промышленной безопасности (обследование)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здания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(номера, наименование и место нахождения зданий, сооружений)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в период с "___" ____________ 20___ года по "___" _______________ 20__ года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3. По  результатам  работ  составить  и  представить  мне  на   утверждение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заключение экспертизы (заключение)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               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 руководителя организаций)                   (подпись Ф.И.О.)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Форма П.2.5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(обязательная)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Техническое заключение о состоянии строительных конструкций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УТВЕРЖДАЮ: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           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(от экспертной организации)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Объект 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организация (предприятие) 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экспертная организация 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лицензия N _________________ выдана 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срок действия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до</w:t>
      </w:r>
      <w:proofErr w:type="gramEnd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произвела: 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(вид экспертизы)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Причина экспертизы 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Строительные конструкции 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(объект экспертизы)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находятся в 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(работоспособном, ограниченно работоспособном, аварийном)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_________________________________________________________________ </w:t>
      </w:r>
      <w:proofErr w:type="gramStart"/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состоянии</w:t>
      </w:r>
      <w:proofErr w:type="gramEnd"/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Обоснованно материалами экспертизы и расчета 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Условия дальнейшей эксплуатации 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Срок следующей экспертизы 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Краткая информация о состоянии конструкций внесена в Паспорт объекта 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Информация о состоянии объекта дана 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(в случае аварийного состояния)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14CB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Исполнитель: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Приложение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1. Перечень вопросов, включенных в программу Технического совещания.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2. Для всех крановых путей (наземных и надземных) предельные допуски отклонений должны ограничиваться продольным и поперечным уклоном пути с учетом упругой податливости пути и пролетов мостовых кранов.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3. Наличие и величины зазора в стыке направляющих. Устройство стыков направляющих (разъемных, неразъемных).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4. Введение показателя предельной величины перекоса направляющих крановых путей (встречный уклон для каждой нити направляющих).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5. Вопрос о принимаемых в расчетах вертикальных, горизонтальных, продольных и поперечных нагрузках, передаваемых колесами крана на направляющие крановых путей и строительные конструкции.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6. Нормативные и расчетные нагрузки на строительные конструкции от грузоподъемного крана.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7. Величина и слияние сил инерции на устойчивость грузоподъемных кранов (башенных, козловых, портальных).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514CB">
        <w:rPr>
          <w:rFonts w:ascii="Arial" w:eastAsiaTheme="minorEastAsia" w:hAnsi="Arial" w:cs="Arial"/>
          <w:sz w:val="20"/>
          <w:szCs w:val="20"/>
          <w:lang w:eastAsia="ru-RU"/>
        </w:rPr>
        <w:t>8. Дополнительные предложения.</w:t>
      </w: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4CB" w:rsidRPr="00A514CB" w:rsidRDefault="00A514CB" w:rsidP="00A514C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1F1656" w:rsidRDefault="001F1656"/>
    <w:sectPr w:rsidR="001F1656">
      <w:headerReference w:type="default" r:id="rId7"/>
      <w:footerReference w:type="default" r:id="rId8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F4" w:rsidRDefault="00F429F4">
      <w:pPr>
        <w:spacing w:after="0" w:line="240" w:lineRule="auto"/>
      </w:pPr>
      <w:r>
        <w:separator/>
      </w:r>
    </w:p>
  </w:endnote>
  <w:endnote w:type="continuationSeparator" w:id="0">
    <w:p w:rsidR="00F429F4" w:rsidRDefault="00F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10" w:rsidRDefault="00A514CB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67"/>
      <w:gridCol w:w="3260"/>
      <w:gridCol w:w="3068"/>
    </w:tblGrid>
    <w:tr w:rsidR="00365010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010" w:rsidRDefault="00A514CB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010" w:rsidRDefault="00F429F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514C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010" w:rsidRDefault="00A514C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46B7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46B7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F4" w:rsidRDefault="00F429F4">
      <w:pPr>
        <w:spacing w:after="0" w:line="240" w:lineRule="auto"/>
      </w:pPr>
      <w:r>
        <w:separator/>
      </w:r>
    </w:p>
  </w:footnote>
  <w:footnote w:type="continuationSeparator" w:id="0">
    <w:p w:rsidR="00F429F4" w:rsidRDefault="00F4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77"/>
      <w:gridCol w:w="383"/>
      <w:gridCol w:w="3835"/>
    </w:tblGrid>
    <w:tr w:rsidR="0036501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010" w:rsidRDefault="00A514CB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"РД 50:48:0075.05.07. Методические рекомендации по экспертизе промышленной безопасности зданий и сооружений с крановыми нагрузками. Часть 1. Общие положения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"(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утв. Объединенным Научно-техническим Сове...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010" w:rsidRDefault="00F429F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65010" w:rsidRDefault="00F429F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010" w:rsidRDefault="00A514C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02.08.2012</w:t>
          </w:r>
        </w:p>
      </w:tc>
    </w:tr>
  </w:tbl>
  <w:p w:rsidR="00365010" w:rsidRDefault="00F429F4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65010" w:rsidRDefault="00A514C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B"/>
    <w:rsid w:val="000737DA"/>
    <w:rsid w:val="000A3EB1"/>
    <w:rsid w:val="000B3234"/>
    <w:rsid w:val="000C1DA8"/>
    <w:rsid w:val="00144BA5"/>
    <w:rsid w:val="00156E13"/>
    <w:rsid w:val="001A4206"/>
    <w:rsid w:val="001D46B7"/>
    <w:rsid w:val="001F1656"/>
    <w:rsid w:val="002C5C00"/>
    <w:rsid w:val="003B0761"/>
    <w:rsid w:val="003D38E8"/>
    <w:rsid w:val="003D7F3C"/>
    <w:rsid w:val="004243F4"/>
    <w:rsid w:val="004252B3"/>
    <w:rsid w:val="00485087"/>
    <w:rsid w:val="0050686D"/>
    <w:rsid w:val="005A6372"/>
    <w:rsid w:val="005E64BB"/>
    <w:rsid w:val="00603B52"/>
    <w:rsid w:val="006430C8"/>
    <w:rsid w:val="006A3575"/>
    <w:rsid w:val="006F3749"/>
    <w:rsid w:val="00770B83"/>
    <w:rsid w:val="007E256A"/>
    <w:rsid w:val="008B0DE2"/>
    <w:rsid w:val="00A4173B"/>
    <w:rsid w:val="00A514CB"/>
    <w:rsid w:val="00A903A6"/>
    <w:rsid w:val="00AA7988"/>
    <w:rsid w:val="00C563C8"/>
    <w:rsid w:val="00C66C08"/>
    <w:rsid w:val="00D030C8"/>
    <w:rsid w:val="00D11203"/>
    <w:rsid w:val="00D9595A"/>
    <w:rsid w:val="00EA2381"/>
    <w:rsid w:val="00F429F4"/>
    <w:rsid w:val="00F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14CB"/>
  </w:style>
  <w:style w:type="paragraph" w:customStyle="1" w:styleId="ConsPlusNormal">
    <w:name w:val="ConsPlusNormal"/>
    <w:rsid w:val="00A51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14CB"/>
  </w:style>
  <w:style w:type="paragraph" w:customStyle="1" w:styleId="ConsPlusNormal">
    <w:name w:val="ConsPlusNormal"/>
    <w:rsid w:val="00A51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514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10351</Words>
  <Characters>59007</Characters>
  <Application>Microsoft Office Word</Application>
  <DocSecurity>0</DocSecurity>
  <Lines>491</Lines>
  <Paragraphs>138</Paragraphs>
  <ScaleCrop>false</ScaleCrop>
  <Company/>
  <LinksUpToDate>false</LinksUpToDate>
  <CharactersWithSpaces>69220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Царьков Евгений</dc:creator>
  <cp:lastModifiedBy>Царьков Евгений</cp:lastModifiedBy>
  <cp:revision>2</cp:revision>
  <dcterms:created xsi:type="dcterms:W3CDTF">2012-08-02T11:08:00Z</dcterms:created>
  <dcterms:modified xsi:type="dcterms:W3CDTF">2012-08-02T11:09:00Z</dcterms:modified>
</cp:coreProperties>
</file>